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7842" w14:textId="7F10DF3C" w:rsidR="001B6069" w:rsidRPr="00CD629A" w:rsidRDefault="00CD629A" w:rsidP="00B97840">
      <w:pPr>
        <w:ind w:left="-1080"/>
        <w:jc w:val="center"/>
        <w:rPr>
          <w:rFonts w:ascii="Rockwell Extra Bold" w:hAnsi="Rockwell Extra Bold"/>
          <w:sz w:val="32"/>
          <w:szCs w:val="32"/>
        </w:rPr>
      </w:pPr>
      <w:r w:rsidRPr="00CD629A">
        <w:rPr>
          <w:rFonts w:ascii="Rockwell Extra Bold" w:hAnsi="Rockwell Extra Bold"/>
          <w:sz w:val="32"/>
          <w:szCs w:val="32"/>
        </w:rPr>
        <w:t>2022 Inflation Reduction Act</w:t>
      </w:r>
    </w:p>
    <w:p w14:paraId="7E54AD29" w14:textId="0262BBDE" w:rsidR="001B6069" w:rsidRPr="00CD629A" w:rsidRDefault="001B6069" w:rsidP="00B97840">
      <w:pPr>
        <w:jc w:val="center"/>
        <w:rPr>
          <w:rFonts w:ascii="Times New Roman" w:hAnsi="Times New Roman" w:cs="Times New Roman"/>
          <w:sz w:val="28"/>
          <w:szCs w:val="28"/>
        </w:rPr>
      </w:pPr>
      <w:r w:rsidRPr="00CD629A">
        <w:rPr>
          <w:rFonts w:ascii="Times New Roman" w:hAnsi="Times New Roman" w:cs="Times New Roman"/>
          <w:sz w:val="28"/>
          <w:szCs w:val="28"/>
        </w:rPr>
        <w:t xml:space="preserve">The Inflation Reduction Act extended many green energy and energy-efficient tax breaks. </w:t>
      </w:r>
      <w:r w:rsidRPr="00CD629A">
        <w:rPr>
          <w:rFonts w:ascii="Times New Roman" w:hAnsi="Times New Roman" w:cs="Times New Roman"/>
          <w:sz w:val="28"/>
          <w:szCs w:val="28"/>
        </w:rPr>
        <w:t xml:space="preserve">The Inflation Reduction Act increases the credit from 26% to 30% for </w:t>
      </w:r>
      <w:r w:rsidR="00465F49">
        <w:rPr>
          <w:rFonts w:ascii="Times New Roman" w:hAnsi="Times New Roman" w:cs="Times New Roman"/>
          <w:sz w:val="28"/>
          <w:szCs w:val="28"/>
        </w:rPr>
        <w:t xml:space="preserve">tax year </w:t>
      </w:r>
      <w:r w:rsidRPr="00CD629A">
        <w:rPr>
          <w:rFonts w:ascii="Times New Roman" w:hAnsi="Times New Roman" w:cs="Times New Roman"/>
          <w:sz w:val="28"/>
          <w:szCs w:val="28"/>
        </w:rPr>
        <w:t>2022 through 2032.</w:t>
      </w:r>
    </w:p>
    <w:p w14:paraId="53ED9D81" w14:textId="327A7CF5" w:rsidR="001B6069" w:rsidRPr="00B97840" w:rsidRDefault="001B6069" w:rsidP="001B6069">
      <w:pPr>
        <w:rPr>
          <w:rFonts w:ascii="Times New Roman" w:hAnsi="Times New Roman" w:cs="Times New Roman"/>
          <w:sz w:val="24"/>
          <w:szCs w:val="24"/>
        </w:rPr>
      </w:pPr>
      <w:r w:rsidRPr="00B97840">
        <w:rPr>
          <w:rFonts w:ascii="Times New Roman" w:hAnsi="Times New Roman" w:cs="Times New Roman"/>
          <w:sz w:val="24"/>
          <w:szCs w:val="24"/>
        </w:rPr>
        <w:t xml:space="preserve">Starting </w:t>
      </w:r>
      <w:r w:rsidR="00CD629A" w:rsidRPr="00B97840">
        <w:rPr>
          <w:rFonts w:ascii="Times New Roman" w:hAnsi="Times New Roman" w:cs="Times New Roman"/>
          <w:sz w:val="24"/>
          <w:szCs w:val="24"/>
        </w:rPr>
        <w:t xml:space="preserve">December 31, </w:t>
      </w:r>
      <w:r w:rsidRPr="00B97840">
        <w:rPr>
          <w:rFonts w:ascii="Times New Roman" w:hAnsi="Times New Roman" w:cs="Times New Roman"/>
          <w:sz w:val="24"/>
          <w:szCs w:val="24"/>
        </w:rPr>
        <w:t>202</w:t>
      </w:r>
      <w:r w:rsidR="00CD629A" w:rsidRPr="00B97840">
        <w:rPr>
          <w:rFonts w:ascii="Times New Roman" w:hAnsi="Times New Roman" w:cs="Times New Roman"/>
          <w:sz w:val="24"/>
          <w:szCs w:val="24"/>
        </w:rPr>
        <w:t>2</w:t>
      </w:r>
      <w:r w:rsidRPr="00B97840">
        <w:rPr>
          <w:rFonts w:ascii="Times New Roman" w:hAnsi="Times New Roman" w:cs="Times New Roman"/>
          <w:sz w:val="24"/>
          <w:szCs w:val="24"/>
        </w:rPr>
        <w:t xml:space="preserve">, the </w:t>
      </w:r>
      <w:r w:rsidRPr="00B97840">
        <w:rPr>
          <w:rFonts w:ascii="Times New Roman" w:hAnsi="Times New Roman" w:cs="Times New Roman"/>
          <w:b/>
          <w:bCs/>
          <w:sz w:val="24"/>
          <w:szCs w:val="24"/>
          <w:u w:val="single"/>
        </w:rPr>
        <w:t>Energy Efficient Home Improvement Credit</w:t>
      </w:r>
      <w:r w:rsidRPr="00B97840">
        <w:rPr>
          <w:rFonts w:ascii="Times New Roman" w:hAnsi="Times New Roman" w:cs="Times New Roman"/>
          <w:sz w:val="24"/>
          <w:szCs w:val="24"/>
        </w:rPr>
        <w:t xml:space="preserve"> will be equal to 30% of what homeowners pay for various types of home energy efficiency improvements</w:t>
      </w:r>
      <w:r w:rsidR="00CD629A" w:rsidRPr="00B97840">
        <w:rPr>
          <w:rFonts w:ascii="Times New Roman" w:hAnsi="Times New Roman" w:cs="Times New Roman"/>
          <w:sz w:val="24"/>
          <w:szCs w:val="24"/>
        </w:rPr>
        <w:t>.</w:t>
      </w:r>
      <w:r w:rsidRPr="00B97840">
        <w:rPr>
          <w:rFonts w:ascii="Times New Roman" w:hAnsi="Times New Roman" w:cs="Times New Roman"/>
          <w:sz w:val="24"/>
          <w:szCs w:val="24"/>
        </w:rPr>
        <w:t xml:space="preserve"> </w:t>
      </w:r>
      <w:r w:rsidR="00CD629A" w:rsidRPr="00B97840">
        <w:rPr>
          <w:rFonts w:ascii="Times New Roman" w:hAnsi="Times New Roman" w:cs="Times New Roman"/>
          <w:sz w:val="24"/>
          <w:szCs w:val="24"/>
        </w:rPr>
        <w:t>(E</w:t>
      </w:r>
      <w:r w:rsidRPr="00B97840">
        <w:rPr>
          <w:rFonts w:ascii="Times New Roman" w:hAnsi="Times New Roman" w:cs="Times New Roman"/>
          <w:sz w:val="24"/>
          <w:szCs w:val="24"/>
        </w:rPr>
        <w:t>xterior windows, skylights, doors, home insulation, heat pumps, water heaters, central air conditioners, furnaces, hot water boilers, biomass stoves, boilers, electric panel upgrades, home energy audits.</w:t>
      </w:r>
      <w:r w:rsidR="00CD629A" w:rsidRPr="00B97840">
        <w:rPr>
          <w:rFonts w:ascii="Times New Roman" w:hAnsi="Times New Roman" w:cs="Times New Roman"/>
          <w:sz w:val="24"/>
          <w:szCs w:val="24"/>
        </w:rPr>
        <w:t>)</w:t>
      </w:r>
    </w:p>
    <w:p w14:paraId="24B07675" w14:textId="51733CF4" w:rsidR="001B6069" w:rsidRPr="00B97840" w:rsidRDefault="001B6069" w:rsidP="00CD629A">
      <w:pPr>
        <w:spacing w:after="0"/>
        <w:rPr>
          <w:rFonts w:ascii="Times New Roman" w:hAnsi="Times New Roman" w:cs="Times New Roman"/>
          <w:sz w:val="24"/>
          <w:szCs w:val="24"/>
        </w:rPr>
      </w:pPr>
      <w:r w:rsidRPr="00B97840">
        <w:rPr>
          <w:rFonts w:ascii="Times New Roman" w:hAnsi="Times New Roman" w:cs="Times New Roman"/>
          <w:sz w:val="24"/>
          <w:szCs w:val="24"/>
        </w:rPr>
        <w:t>These improvements must meet Energy Star requirements, and insulation must meet criteria established by the International Energy Conservation Code.</w:t>
      </w:r>
      <w:r w:rsidRPr="00B97840">
        <w:rPr>
          <w:rFonts w:ascii="Times New Roman" w:hAnsi="Times New Roman" w:cs="Times New Roman"/>
          <w:sz w:val="24"/>
          <w:szCs w:val="24"/>
        </w:rPr>
        <w:t xml:space="preserve"> </w:t>
      </w:r>
      <w:r w:rsidRPr="00B97840">
        <w:rPr>
          <w:rFonts w:ascii="Times New Roman" w:hAnsi="Times New Roman" w:cs="Times New Roman"/>
          <w:sz w:val="24"/>
          <w:szCs w:val="24"/>
        </w:rPr>
        <w:t>The old credit contained a lifetime cap. Taxpayers would hit the limit at a mere $500. Under the IRA legislation, lifetime caps are eliminated. Instead, there is a $1,200 overall annual cap on the new credit along with annual caps for the following types of improvements</w:t>
      </w:r>
      <w:r w:rsidR="00CD629A" w:rsidRPr="00B97840">
        <w:rPr>
          <w:rFonts w:ascii="Times New Roman" w:hAnsi="Times New Roman" w:cs="Times New Roman"/>
          <w:sz w:val="24"/>
          <w:szCs w:val="24"/>
        </w:rPr>
        <w:t>:</w:t>
      </w:r>
    </w:p>
    <w:p w14:paraId="36144FFE" w14:textId="14C23F85" w:rsidR="001B6069" w:rsidRPr="00B97840" w:rsidRDefault="001B6069" w:rsidP="00CD629A">
      <w:pPr>
        <w:spacing w:after="0"/>
        <w:rPr>
          <w:rFonts w:ascii="Times New Roman" w:hAnsi="Times New Roman" w:cs="Times New Roman"/>
          <w:sz w:val="24"/>
          <w:szCs w:val="24"/>
        </w:rPr>
      </w:pPr>
      <w:r w:rsidRPr="00B97840">
        <w:rPr>
          <w:rFonts w:ascii="Times New Roman" w:hAnsi="Times New Roman" w:cs="Times New Roman"/>
          <w:sz w:val="24"/>
          <w:szCs w:val="24"/>
        </w:rPr>
        <w:t>W</w:t>
      </w:r>
      <w:r w:rsidRPr="00B97840">
        <w:rPr>
          <w:rFonts w:ascii="Times New Roman" w:hAnsi="Times New Roman" w:cs="Times New Roman"/>
          <w:sz w:val="24"/>
          <w:szCs w:val="24"/>
        </w:rPr>
        <w:t>ater heaters, central air conditioners, furnaces: $600 annual cap.</w:t>
      </w:r>
    </w:p>
    <w:p w14:paraId="444D8848" w14:textId="77777777" w:rsidR="001B6069" w:rsidRPr="00B97840" w:rsidRDefault="001B6069" w:rsidP="00CD629A">
      <w:pPr>
        <w:spacing w:after="0"/>
        <w:rPr>
          <w:rFonts w:ascii="Times New Roman" w:hAnsi="Times New Roman" w:cs="Times New Roman"/>
          <w:sz w:val="24"/>
          <w:szCs w:val="24"/>
        </w:rPr>
      </w:pPr>
      <w:r w:rsidRPr="00B97840">
        <w:rPr>
          <w:rFonts w:ascii="Times New Roman" w:hAnsi="Times New Roman" w:cs="Times New Roman"/>
          <w:sz w:val="24"/>
          <w:szCs w:val="24"/>
        </w:rPr>
        <w:t>Windows and skylights: $600 cap for all exterior windows and skylights.</w:t>
      </w:r>
    </w:p>
    <w:p w14:paraId="6D721728" w14:textId="77777777" w:rsidR="001B6069" w:rsidRPr="00B97840" w:rsidRDefault="001B6069" w:rsidP="00CD629A">
      <w:pPr>
        <w:spacing w:after="0"/>
        <w:rPr>
          <w:rFonts w:ascii="Times New Roman" w:hAnsi="Times New Roman" w:cs="Times New Roman"/>
          <w:sz w:val="24"/>
          <w:szCs w:val="24"/>
        </w:rPr>
      </w:pPr>
      <w:r w:rsidRPr="00B97840">
        <w:rPr>
          <w:rFonts w:ascii="Times New Roman" w:hAnsi="Times New Roman" w:cs="Times New Roman"/>
          <w:sz w:val="24"/>
          <w:szCs w:val="24"/>
        </w:rPr>
        <w:t>Doors: $250 for any single exterior door and $500 for all exterior doors.</w:t>
      </w:r>
    </w:p>
    <w:p w14:paraId="4CEF540A" w14:textId="77777777" w:rsidR="001B6069" w:rsidRPr="00B97840" w:rsidRDefault="001B6069" w:rsidP="00CD629A">
      <w:pPr>
        <w:spacing w:after="0"/>
        <w:rPr>
          <w:rFonts w:ascii="Times New Roman" w:hAnsi="Times New Roman" w:cs="Times New Roman"/>
          <w:sz w:val="24"/>
          <w:szCs w:val="24"/>
        </w:rPr>
      </w:pPr>
      <w:r w:rsidRPr="00B97840">
        <w:rPr>
          <w:rFonts w:ascii="Times New Roman" w:hAnsi="Times New Roman" w:cs="Times New Roman"/>
          <w:sz w:val="24"/>
          <w:szCs w:val="24"/>
        </w:rPr>
        <w:t>Home energy audit: $150 per year.</w:t>
      </w:r>
    </w:p>
    <w:p w14:paraId="3F55A6D2" w14:textId="06C999A1" w:rsidR="001B6069" w:rsidRPr="00B97840" w:rsidRDefault="001B6069" w:rsidP="001B6069">
      <w:pPr>
        <w:rPr>
          <w:rFonts w:ascii="Times New Roman" w:hAnsi="Times New Roman" w:cs="Times New Roman"/>
          <w:sz w:val="24"/>
          <w:szCs w:val="24"/>
        </w:rPr>
      </w:pPr>
      <w:r w:rsidRPr="00B97840">
        <w:rPr>
          <w:rFonts w:ascii="Times New Roman" w:hAnsi="Times New Roman" w:cs="Times New Roman"/>
          <w:sz w:val="24"/>
          <w:szCs w:val="24"/>
        </w:rPr>
        <w:t>This means you can perform home energy efficiency projects over several years and collect a credit up to $1,200 each year. Heat pumps, biomass stoves, and boilers have a $2,000 annual cap, which is not included in the $1,200 annual limit.</w:t>
      </w:r>
    </w:p>
    <w:p w14:paraId="448812A5" w14:textId="7C2768D4" w:rsidR="00B97840" w:rsidRPr="009A689D" w:rsidRDefault="009A689D" w:rsidP="00B97840">
      <w:pPr>
        <w:jc w:val="center"/>
        <w:rPr>
          <w:rFonts w:ascii="Rockwell Extra Bold" w:hAnsi="Rockwell Extra Bold" w:cs="Times New Roman"/>
          <w:b/>
          <w:bCs/>
          <w:sz w:val="24"/>
          <w:szCs w:val="24"/>
        </w:rPr>
      </w:pPr>
      <w:r w:rsidRPr="009A689D">
        <w:rPr>
          <w:rFonts w:ascii="Rockwell Extra Bold" w:hAnsi="Rockwell Extra Bold" w:cs="Times New Roman"/>
          <w:noProof/>
          <w:u w:val="single"/>
        </w:rPr>
        <mc:AlternateContent>
          <mc:Choice Requires="wps">
            <w:drawing>
              <wp:anchor distT="0" distB="0" distL="114300" distR="114300" simplePos="0" relativeHeight="251667456" behindDoc="0" locked="0" layoutInCell="1" allowOverlap="1" wp14:anchorId="0F8CD802" wp14:editId="3D71F857">
                <wp:simplePos x="0" y="0"/>
                <wp:positionH relativeFrom="column">
                  <wp:posOffset>742950</wp:posOffset>
                </wp:positionH>
                <wp:positionV relativeFrom="paragraph">
                  <wp:posOffset>207010</wp:posOffset>
                </wp:positionV>
                <wp:extent cx="2333625" cy="16573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33625" cy="1657350"/>
                        </a:xfrm>
                        <a:prstGeom prst="rect">
                          <a:avLst/>
                        </a:prstGeom>
                        <a:solidFill>
                          <a:schemeClr val="lt1"/>
                        </a:solidFill>
                        <a:ln w="6350">
                          <a:solidFill>
                            <a:prstClr val="black"/>
                          </a:solidFill>
                        </a:ln>
                      </wps:spPr>
                      <wps:txbx>
                        <w:txbxContent>
                          <w:p w14:paraId="5EE7B03F" w14:textId="7091B0F8" w:rsidR="00703304" w:rsidRPr="00465F49" w:rsidRDefault="00703304" w:rsidP="00703304">
                            <w:pPr>
                              <w:rPr>
                                <w:rFonts w:ascii="Times New Roman" w:hAnsi="Times New Roman" w:cs="Times New Roman"/>
                                <w:sz w:val="20"/>
                                <w:szCs w:val="20"/>
                              </w:rPr>
                            </w:pPr>
                            <w:r w:rsidRPr="009A689D">
                              <w:rPr>
                                <w:rFonts w:ascii="Times New Roman" w:hAnsi="Times New Roman" w:cs="Times New Roman"/>
                                <w:b/>
                                <w:bCs/>
                                <w:sz w:val="20"/>
                                <w:szCs w:val="20"/>
                                <w:u w:val="single"/>
                              </w:rPr>
                              <w:t>Energy</w:t>
                            </w:r>
                            <w:r w:rsidR="009A689D" w:rsidRPr="009A689D">
                              <w:rPr>
                                <w:rFonts w:ascii="Times New Roman" w:hAnsi="Times New Roman" w:cs="Times New Roman"/>
                                <w:b/>
                                <w:bCs/>
                                <w:sz w:val="20"/>
                                <w:szCs w:val="20"/>
                                <w:u w:val="single"/>
                              </w:rPr>
                              <w:t>- Efficient Commercial Building Tax Deduction</w:t>
                            </w:r>
                            <w:r w:rsidR="009A689D">
                              <w:rPr>
                                <w:rFonts w:ascii="Times New Roman" w:hAnsi="Times New Roman" w:cs="Times New Roman"/>
                                <w:sz w:val="20"/>
                                <w:szCs w:val="20"/>
                              </w:rPr>
                              <w:t>: This</w:t>
                            </w:r>
                            <w:r w:rsidRPr="00703304">
                              <w:rPr>
                                <w:rFonts w:ascii="Times New Roman" w:hAnsi="Times New Roman" w:cs="Times New Roman"/>
                                <w:sz w:val="20"/>
                                <w:szCs w:val="20"/>
                              </w:rPr>
                              <w:t xml:space="preserve"> tax deduction</w:t>
                            </w:r>
                            <w:r w:rsidR="009A689D">
                              <w:rPr>
                                <w:rFonts w:ascii="Times New Roman" w:hAnsi="Times New Roman" w:cs="Times New Roman"/>
                                <w:sz w:val="20"/>
                                <w:szCs w:val="20"/>
                              </w:rPr>
                              <w:t xml:space="preserve"> of </w:t>
                            </w:r>
                            <w:r w:rsidRPr="00703304">
                              <w:rPr>
                                <w:rFonts w:ascii="Times New Roman" w:hAnsi="Times New Roman" w:cs="Times New Roman"/>
                                <w:sz w:val="20"/>
                                <w:szCs w:val="20"/>
                              </w:rPr>
                              <w:t xml:space="preserve">up to $1.88 per square foot is available to owners of new or existing buildings who install interior </w:t>
                            </w:r>
                            <w:r w:rsidR="009A689D" w:rsidRPr="00703304">
                              <w:rPr>
                                <w:rFonts w:ascii="Times New Roman" w:hAnsi="Times New Roman" w:cs="Times New Roman"/>
                                <w:sz w:val="20"/>
                                <w:szCs w:val="20"/>
                              </w:rPr>
                              <w:t>lighting</w:t>
                            </w:r>
                            <w:r w:rsidR="009A689D">
                              <w:rPr>
                                <w:rFonts w:ascii="Times New Roman" w:hAnsi="Times New Roman" w:cs="Times New Roman"/>
                                <w:sz w:val="20"/>
                                <w:szCs w:val="20"/>
                              </w:rPr>
                              <w:t>, a</w:t>
                            </w:r>
                            <w:r w:rsidRPr="00703304">
                              <w:rPr>
                                <w:rFonts w:ascii="Times New Roman" w:hAnsi="Times New Roman" w:cs="Times New Roman"/>
                                <w:sz w:val="20"/>
                                <w:szCs w:val="20"/>
                              </w:rPr>
                              <w:t xml:space="preserve"> building envelope</w:t>
                            </w:r>
                            <w:r w:rsidR="009A689D">
                              <w:rPr>
                                <w:rFonts w:ascii="Times New Roman" w:hAnsi="Times New Roman" w:cs="Times New Roman"/>
                                <w:sz w:val="20"/>
                                <w:szCs w:val="20"/>
                              </w:rPr>
                              <w:t xml:space="preserve">, </w:t>
                            </w:r>
                            <w:r w:rsidRPr="00703304">
                              <w:rPr>
                                <w:rFonts w:ascii="Times New Roman" w:hAnsi="Times New Roman" w:cs="Times New Roman"/>
                                <w:sz w:val="20"/>
                                <w:szCs w:val="20"/>
                              </w:rPr>
                              <w:t>heating, cooling, ventilation, or hot water systems that reduce the energy and power cost of the interior lighting, HVAC, and service hot water systems by 50% or more</w:t>
                            </w:r>
                            <w:r>
                              <w:rPr>
                                <w:rFonts w:ascii="Times New Roman" w:hAnsi="Times New Roman" w:cs="Times New Roman"/>
                                <w:sz w:val="20"/>
                                <w:szCs w:val="20"/>
                              </w:rPr>
                              <w:t>.</w:t>
                            </w:r>
                            <w:r w:rsidRPr="0070330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CD802" id="_x0000_t202" coordsize="21600,21600" o:spt="202" path="m,l,21600r21600,l21600,xe">
                <v:stroke joinstyle="miter"/>
                <v:path gradientshapeok="t" o:connecttype="rect"/>
              </v:shapetype>
              <v:shape id="Text Box 6" o:spid="_x0000_s1026" type="#_x0000_t202" style="position:absolute;left:0;text-align:left;margin-left:58.5pt;margin-top:16.3pt;width:183.75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7oOQIAAIQ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zsDwaDcX9ECUdbbzy6GYwSsdnluXU+/BBQkygU1GFfEl1s&#10;t/QBQ6LrySVG86BVuVBaJyXOgphrR3YMu6hDShJfvPDShjQFHcfQbxAi9Pn9WjP+O5b5EgE1bfDy&#10;UnyUQrtuiSoLOjwRs4Zyj3w5OIySt3yhEH7JfHhkDmcHKcJ9CA94SA2YExwlSipwf/93H/2xpWil&#10;pMFZLKj/s2VOUKJ/Gmz2t95wGIc3KcPRTR8Vd21ZX1vMtp4DEtXDzbM8idE/6JMoHdTPuDazGBVN&#10;zHCMXdBwEufhsCG4dlzMZskJx9WysDQryyN05DjS+tQ+M2ePbQ04EfdwmlqWv+ruwTe+NDDbBpAq&#10;tT7yfGD1SD+OeurOcS3jLl3ryevy85j+AwAA//8DAFBLAwQUAAYACAAAACEAt6LdCN4AAAAKAQAA&#10;DwAAAGRycy9kb3ducmV2LnhtbEyPMU/DMBSEdyT+g/WQ2KjTtIQ0xKkAFRYmCmJ2Y9e2iJ8j203D&#10;v+cxwXi609137Xb2A5t0TC6ggOWiAKaxD8qhEfDx/nxTA0tZopJDQC3gWyfYdpcXrWxUOOObnvbZ&#10;MCrB1EgBNuex4Tz1VnuZFmHUSN4xRC8zyWi4ivJM5X7gZVFU3EuHtGDlqJ+s7r/2Jy9g92g2pq9l&#10;tLtaOTfNn8dX8yLE9dX8cA8s6zn/heEXn9ChI6ZDOKFKbCC9vKMvWcCqrIBRYF2vb4EdBJSbVQW8&#10;a/n/C90PAAAA//8DAFBLAQItABQABgAIAAAAIQC2gziS/gAAAOEBAAATAAAAAAAAAAAAAAAAAAAA&#10;AABbQ29udGVudF9UeXBlc10ueG1sUEsBAi0AFAAGAAgAAAAhADj9If/WAAAAlAEAAAsAAAAAAAAA&#10;AAAAAAAALwEAAF9yZWxzLy5yZWxzUEsBAi0AFAAGAAgAAAAhAMawjug5AgAAhAQAAA4AAAAAAAAA&#10;AAAAAAAALgIAAGRycy9lMm9Eb2MueG1sUEsBAi0AFAAGAAgAAAAhALei3QjeAAAACgEAAA8AAAAA&#10;AAAAAAAAAAAAkwQAAGRycy9kb3ducmV2LnhtbFBLBQYAAAAABAAEAPMAAACeBQAAAAA=&#10;" fillcolor="white [3201]" strokeweight=".5pt">
                <v:textbox>
                  <w:txbxContent>
                    <w:p w14:paraId="5EE7B03F" w14:textId="7091B0F8" w:rsidR="00703304" w:rsidRPr="00465F49" w:rsidRDefault="00703304" w:rsidP="00703304">
                      <w:pPr>
                        <w:rPr>
                          <w:rFonts w:ascii="Times New Roman" w:hAnsi="Times New Roman" w:cs="Times New Roman"/>
                          <w:sz w:val="20"/>
                          <w:szCs w:val="20"/>
                        </w:rPr>
                      </w:pPr>
                      <w:r w:rsidRPr="009A689D">
                        <w:rPr>
                          <w:rFonts w:ascii="Times New Roman" w:hAnsi="Times New Roman" w:cs="Times New Roman"/>
                          <w:b/>
                          <w:bCs/>
                          <w:sz w:val="20"/>
                          <w:szCs w:val="20"/>
                          <w:u w:val="single"/>
                        </w:rPr>
                        <w:t>Energy</w:t>
                      </w:r>
                      <w:r w:rsidR="009A689D" w:rsidRPr="009A689D">
                        <w:rPr>
                          <w:rFonts w:ascii="Times New Roman" w:hAnsi="Times New Roman" w:cs="Times New Roman"/>
                          <w:b/>
                          <w:bCs/>
                          <w:sz w:val="20"/>
                          <w:szCs w:val="20"/>
                          <w:u w:val="single"/>
                        </w:rPr>
                        <w:t>- Efficient Commercial Building Tax Deduction</w:t>
                      </w:r>
                      <w:r w:rsidR="009A689D">
                        <w:rPr>
                          <w:rFonts w:ascii="Times New Roman" w:hAnsi="Times New Roman" w:cs="Times New Roman"/>
                          <w:sz w:val="20"/>
                          <w:szCs w:val="20"/>
                        </w:rPr>
                        <w:t>: This</w:t>
                      </w:r>
                      <w:r w:rsidRPr="00703304">
                        <w:rPr>
                          <w:rFonts w:ascii="Times New Roman" w:hAnsi="Times New Roman" w:cs="Times New Roman"/>
                          <w:sz w:val="20"/>
                          <w:szCs w:val="20"/>
                        </w:rPr>
                        <w:t xml:space="preserve"> tax deduction</w:t>
                      </w:r>
                      <w:r w:rsidR="009A689D">
                        <w:rPr>
                          <w:rFonts w:ascii="Times New Roman" w:hAnsi="Times New Roman" w:cs="Times New Roman"/>
                          <w:sz w:val="20"/>
                          <w:szCs w:val="20"/>
                        </w:rPr>
                        <w:t xml:space="preserve"> of </w:t>
                      </w:r>
                      <w:r w:rsidRPr="00703304">
                        <w:rPr>
                          <w:rFonts w:ascii="Times New Roman" w:hAnsi="Times New Roman" w:cs="Times New Roman"/>
                          <w:sz w:val="20"/>
                          <w:szCs w:val="20"/>
                        </w:rPr>
                        <w:t xml:space="preserve">up to $1.88 per square foot is available to owners of new or existing buildings who install interior </w:t>
                      </w:r>
                      <w:r w:rsidR="009A689D" w:rsidRPr="00703304">
                        <w:rPr>
                          <w:rFonts w:ascii="Times New Roman" w:hAnsi="Times New Roman" w:cs="Times New Roman"/>
                          <w:sz w:val="20"/>
                          <w:szCs w:val="20"/>
                        </w:rPr>
                        <w:t>lighting</w:t>
                      </w:r>
                      <w:r w:rsidR="009A689D">
                        <w:rPr>
                          <w:rFonts w:ascii="Times New Roman" w:hAnsi="Times New Roman" w:cs="Times New Roman"/>
                          <w:sz w:val="20"/>
                          <w:szCs w:val="20"/>
                        </w:rPr>
                        <w:t>, a</w:t>
                      </w:r>
                      <w:r w:rsidRPr="00703304">
                        <w:rPr>
                          <w:rFonts w:ascii="Times New Roman" w:hAnsi="Times New Roman" w:cs="Times New Roman"/>
                          <w:sz w:val="20"/>
                          <w:szCs w:val="20"/>
                        </w:rPr>
                        <w:t xml:space="preserve"> building envelope</w:t>
                      </w:r>
                      <w:r w:rsidR="009A689D">
                        <w:rPr>
                          <w:rFonts w:ascii="Times New Roman" w:hAnsi="Times New Roman" w:cs="Times New Roman"/>
                          <w:sz w:val="20"/>
                          <w:szCs w:val="20"/>
                        </w:rPr>
                        <w:t xml:space="preserve">, </w:t>
                      </w:r>
                      <w:r w:rsidRPr="00703304">
                        <w:rPr>
                          <w:rFonts w:ascii="Times New Roman" w:hAnsi="Times New Roman" w:cs="Times New Roman"/>
                          <w:sz w:val="20"/>
                          <w:szCs w:val="20"/>
                        </w:rPr>
                        <w:t>heating, cooling, ventilation, or hot water systems that reduce the energy and power cost of the interior lighting, HVAC, and service hot water systems by 50% or more</w:t>
                      </w:r>
                      <w:r>
                        <w:rPr>
                          <w:rFonts w:ascii="Times New Roman" w:hAnsi="Times New Roman" w:cs="Times New Roman"/>
                          <w:sz w:val="20"/>
                          <w:szCs w:val="20"/>
                        </w:rPr>
                        <w:t>.</w:t>
                      </w:r>
                      <w:r w:rsidRPr="00703304">
                        <w:rPr>
                          <w:rFonts w:ascii="Times New Roman" w:hAnsi="Times New Roman" w:cs="Times New Roman"/>
                          <w:sz w:val="20"/>
                          <w:szCs w:val="20"/>
                        </w:rPr>
                        <w:t xml:space="preserve"> </w:t>
                      </w:r>
                    </w:p>
                  </w:txbxContent>
                </v:textbox>
              </v:shape>
            </w:pict>
          </mc:Fallback>
        </mc:AlternateContent>
      </w:r>
      <w:r w:rsidRPr="009A689D">
        <w:rPr>
          <w:rFonts w:ascii="Rockwell Extra Bold" w:hAnsi="Rockwell Extra Bold" w:cs="Times New Roman"/>
          <w:noProof/>
          <w:u w:val="single"/>
        </w:rPr>
        <mc:AlternateContent>
          <mc:Choice Requires="wps">
            <w:drawing>
              <wp:anchor distT="0" distB="0" distL="114300" distR="114300" simplePos="0" relativeHeight="251659264" behindDoc="0" locked="0" layoutInCell="1" allowOverlap="1" wp14:anchorId="57FF0C7D" wp14:editId="1E0584CE">
                <wp:simplePos x="0" y="0"/>
                <wp:positionH relativeFrom="column">
                  <wp:posOffset>6105525</wp:posOffset>
                </wp:positionH>
                <wp:positionV relativeFrom="paragraph">
                  <wp:posOffset>207645</wp:posOffset>
                </wp:positionV>
                <wp:extent cx="2333625" cy="1657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33625" cy="1657350"/>
                        </a:xfrm>
                        <a:prstGeom prst="rect">
                          <a:avLst/>
                        </a:prstGeom>
                        <a:solidFill>
                          <a:schemeClr val="lt1"/>
                        </a:solidFill>
                        <a:ln w="6350">
                          <a:solidFill>
                            <a:prstClr val="black"/>
                          </a:solidFill>
                        </a:ln>
                      </wps:spPr>
                      <wps:txbx>
                        <w:txbxContent>
                          <w:p w14:paraId="7F145B89" w14:textId="03C89FC8" w:rsidR="00465F49" w:rsidRPr="00465F49" w:rsidRDefault="00465F49">
                            <w:pPr>
                              <w:rPr>
                                <w:rFonts w:ascii="Times New Roman" w:hAnsi="Times New Roman" w:cs="Times New Roman"/>
                                <w:sz w:val="20"/>
                                <w:szCs w:val="20"/>
                              </w:rPr>
                            </w:pPr>
                            <w:r w:rsidRPr="00465F49">
                              <w:rPr>
                                <w:rFonts w:ascii="Times New Roman" w:hAnsi="Times New Roman" w:cs="Times New Roman"/>
                                <w:sz w:val="20"/>
                                <w:szCs w:val="20"/>
                              </w:rPr>
                              <w:t xml:space="preserve">The </w:t>
                            </w:r>
                            <w:r w:rsidRPr="00465F49">
                              <w:rPr>
                                <w:rFonts w:ascii="Times New Roman" w:hAnsi="Times New Roman" w:cs="Times New Roman"/>
                                <w:b/>
                                <w:bCs/>
                                <w:sz w:val="20"/>
                                <w:szCs w:val="20"/>
                                <w:u w:val="single"/>
                              </w:rPr>
                              <w:t>Residential Clean Energy Credit</w:t>
                            </w:r>
                            <w:r w:rsidRPr="00465F49">
                              <w:rPr>
                                <w:rFonts w:ascii="Times New Roman" w:hAnsi="Times New Roman" w:cs="Times New Roman"/>
                                <w:sz w:val="20"/>
                                <w:szCs w:val="20"/>
                              </w:rPr>
                              <w:t xml:space="preserve"> applies primarily to the installation of home solar panels, but it can also be claimed for the cost of purchasing and installing solar water heaters, geothermal heat pumps, small residential wind turbines, residential fuel cells, and storage batteries. There is no annual or lifetime cap on this credit and you can use it for your main home or second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0C7D" id="Text Box 2" o:spid="_x0000_s1027" type="#_x0000_t202" style="position:absolute;left:0;text-align:left;margin-left:480.75pt;margin-top:16.35pt;width:183.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TNNgIAAH0EAAAOAAAAZHJzL2Uyb0RvYy54bWysVEtv2zAMvg/YfxB0X5x3NyNOkaXIMKBo&#10;C6RDz4osxcYkUZOU2NmvH6U4j7Y7DbvIpEh9JD+Snt22WpG9cL4GU9BBr0+JMBzK2mwL+uN59ekz&#10;JT4wUzIFRhT0IDy9nX/8MGtsLoZQgSqFIwhifN7YglYh2DzLPK+EZr4HVhg0SnCaBVTdNisdaxBd&#10;q2zY70+zBlxpHXDhPd7eHY10nvClFDw8SulFIKqgmFtIp0vnJp7ZfMbyrWO2qnmXBvuHLDSrDQY9&#10;Q92xwMjO1e+gdM0deJChx0FnIGXNRaoBqxn031SzrpgVqRYkx9szTf7/wfKH/do+ORLar9BiAyMh&#10;jfW5x8tYTyudjl/MlKAdKTycaRNtIBwvh6PRaDqcUMLRNphObkaTRGx2eW6dD98EaBKFgjrsS6KL&#10;7e99wJDoenKJ0TyoulzVSiUlzoJYKkf2DLuoQkoSX7zyUoY0BZ3G0O8QIvT5/UYx/jOW+RoBNWXw&#10;8lJ8lEK7aTtGNlAekCgHxxnylq9qxL1nPjwxh0OD3OAihEc8pAJMBjqJkgrc77/dR3/sJVopaXAI&#10;C+p/7ZgTlKjvBrv8ZTAex6lNynhyM0TFXVs21xaz00tAhga4cpYnMfoHdRKlA/2C+7KIUdHEDMfY&#10;BQ0ncRmOq4H7xsVikZxwTi0L92ZteYSO5EY+n9sX5mzXz4Cj8ACncWX5m7YefeNLA4tdAFmnnkeC&#10;j6x2vOOMp7Z0+xiX6FpPXpe/xvwPAAAA//8DAFBLAwQUAAYACAAAACEAVZQOGt8AAAALAQAADwAA&#10;AGRycy9kb3ducmV2LnhtbEyPwU7DMBBE70j8g7VI3KjTRLRJGqcCVLhwoqCet/HWtojtKHbT8Pe4&#10;Jziu9mnmTbOdbc8mGoPxTsBykQEj13lpnBLw9fn6UAILEZ3E3jsS8EMBtu3tTYO19Bf3QdM+KpZC&#10;XKhRgI5xqDkPnSaLYeEHcul38qPFmM5RcTniJYXbnudZtuIWjUsNGgd60dR9789WwO5ZVaorcdS7&#10;UhozzYfTu3oT4v5uftoAizTHPxiu+kkd2uR09GcnA+sFVKvlY0IFFPka2BUo8iqtOwrIq2INvG34&#10;/w3tLwAAAP//AwBQSwECLQAUAAYACAAAACEAtoM4kv4AAADhAQAAEwAAAAAAAAAAAAAAAAAAAAAA&#10;W0NvbnRlbnRfVHlwZXNdLnhtbFBLAQItABQABgAIAAAAIQA4/SH/1gAAAJQBAAALAAAAAAAAAAAA&#10;AAAAAC8BAABfcmVscy8ucmVsc1BLAQItABQABgAIAAAAIQBkUTTNNgIAAH0EAAAOAAAAAAAAAAAA&#10;AAAAAC4CAABkcnMvZTJvRG9jLnhtbFBLAQItABQABgAIAAAAIQBVlA4a3wAAAAsBAAAPAAAAAAAA&#10;AAAAAAAAAJAEAABkcnMvZG93bnJldi54bWxQSwUGAAAAAAQABADzAAAAnAUAAAAA&#10;" fillcolor="white [3201]" strokeweight=".5pt">
                <v:textbox>
                  <w:txbxContent>
                    <w:p w14:paraId="7F145B89" w14:textId="03C89FC8" w:rsidR="00465F49" w:rsidRPr="00465F49" w:rsidRDefault="00465F49">
                      <w:pPr>
                        <w:rPr>
                          <w:rFonts w:ascii="Times New Roman" w:hAnsi="Times New Roman" w:cs="Times New Roman"/>
                          <w:sz w:val="20"/>
                          <w:szCs w:val="20"/>
                        </w:rPr>
                      </w:pPr>
                      <w:r w:rsidRPr="00465F49">
                        <w:rPr>
                          <w:rFonts w:ascii="Times New Roman" w:hAnsi="Times New Roman" w:cs="Times New Roman"/>
                          <w:sz w:val="20"/>
                          <w:szCs w:val="20"/>
                        </w:rPr>
                        <w:t xml:space="preserve">The </w:t>
                      </w:r>
                      <w:r w:rsidRPr="00465F49">
                        <w:rPr>
                          <w:rFonts w:ascii="Times New Roman" w:hAnsi="Times New Roman" w:cs="Times New Roman"/>
                          <w:b/>
                          <w:bCs/>
                          <w:sz w:val="20"/>
                          <w:szCs w:val="20"/>
                          <w:u w:val="single"/>
                        </w:rPr>
                        <w:t>Residential Clean Energy Credit</w:t>
                      </w:r>
                      <w:r w:rsidRPr="00465F49">
                        <w:rPr>
                          <w:rFonts w:ascii="Times New Roman" w:hAnsi="Times New Roman" w:cs="Times New Roman"/>
                          <w:sz w:val="20"/>
                          <w:szCs w:val="20"/>
                        </w:rPr>
                        <w:t xml:space="preserve"> applies primarily to the installation of home solar panels, but it can also be claimed for the cost of purchasing and installing solar water heaters, geothermal heat pumps, small residential wind turbines, residential fuel cells, and storage batteries. There is no annual or lifetime cap on this credit and you can use it for your main home or second home.</w:t>
                      </w:r>
                    </w:p>
                  </w:txbxContent>
                </v:textbox>
              </v:shape>
            </w:pict>
          </mc:Fallback>
        </mc:AlternateContent>
      </w:r>
      <w:r w:rsidR="00465F49" w:rsidRPr="009A689D">
        <w:rPr>
          <w:rFonts w:ascii="Rockwell Extra Bold" w:hAnsi="Rockwell Extra Bold" w:cs="Times New Roman"/>
          <w:b/>
          <w:bCs/>
          <w:sz w:val="24"/>
          <w:szCs w:val="24"/>
        </w:rPr>
        <w:t>Other Types of Credits:</w:t>
      </w:r>
    </w:p>
    <w:p w14:paraId="70A09EFE" w14:textId="5E4960D6" w:rsidR="00B97840" w:rsidRPr="00B97840" w:rsidRDefault="009A689D" w:rsidP="00703304">
      <w:pPr>
        <w:tabs>
          <w:tab w:val="left" w:pos="9060"/>
        </w:tabs>
        <w:rPr>
          <w:rFonts w:ascii="Times New Roman" w:hAnsi="Times New Roman" w:cs="Times New Roman"/>
          <w:b/>
          <w:bCs/>
          <w:sz w:val="24"/>
          <w:szCs w:val="24"/>
        </w:rPr>
      </w:pPr>
      <w:r>
        <w:rPr>
          <w:noProof/>
          <w:u w:val="single"/>
        </w:rPr>
        <mc:AlternateContent>
          <mc:Choice Requires="wps">
            <w:drawing>
              <wp:anchor distT="0" distB="0" distL="114300" distR="114300" simplePos="0" relativeHeight="251661312" behindDoc="0" locked="0" layoutInCell="1" allowOverlap="1" wp14:anchorId="5EC68223" wp14:editId="7060F55A">
                <wp:simplePos x="0" y="0"/>
                <wp:positionH relativeFrom="column">
                  <wp:posOffset>3429000</wp:posOffset>
                </wp:positionH>
                <wp:positionV relativeFrom="paragraph">
                  <wp:posOffset>255270</wp:posOffset>
                </wp:positionV>
                <wp:extent cx="2333625" cy="12192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333625" cy="1219200"/>
                        </a:xfrm>
                        <a:prstGeom prst="rect">
                          <a:avLst/>
                        </a:prstGeom>
                        <a:solidFill>
                          <a:schemeClr val="lt1"/>
                        </a:solidFill>
                        <a:ln w="6350">
                          <a:solidFill>
                            <a:prstClr val="black"/>
                          </a:solidFill>
                        </a:ln>
                      </wps:spPr>
                      <wps:txbx>
                        <w:txbxContent>
                          <w:p w14:paraId="76599EFF" w14:textId="1F122857" w:rsidR="00465F49" w:rsidRPr="00465F49" w:rsidRDefault="00465F49" w:rsidP="00465F49">
                            <w:pPr>
                              <w:rPr>
                                <w:rFonts w:ascii="Times New Roman" w:hAnsi="Times New Roman" w:cs="Times New Roman"/>
                                <w:sz w:val="20"/>
                                <w:szCs w:val="20"/>
                              </w:rPr>
                            </w:pPr>
                            <w:r w:rsidRPr="00465F49">
                              <w:rPr>
                                <w:rFonts w:ascii="Times New Roman" w:hAnsi="Times New Roman" w:cs="Times New Roman"/>
                                <w:b/>
                                <w:bCs/>
                                <w:sz w:val="20"/>
                                <w:szCs w:val="20"/>
                                <w:u w:val="single"/>
                              </w:rPr>
                              <w:t>Home EV charger Credit</w:t>
                            </w:r>
                            <w:r w:rsidRPr="00465F49">
                              <w:rPr>
                                <w:rFonts w:ascii="Times New Roman" w:hAnsi="Times New Roman" w:cs="Times New Roman"/>
                                <w:b/>
                                <w:bCs/>
                                <w:sz w:val="20"/>
                                <w:szCs w:val="20"/>
                              </w:rPr>
                              <w:t>:</w:t>
                            </w:r>
                            <w:r w:rsidRPr="00465F49">
                              <w:rPr>
                                <w:rFonts w:ascii="Times New Roman" w:hAnsi="Times New Roman" w:cs="Times New Roman"/>
                                <w:sz w:val="20"/>
                                <w:szCs w:val="20"/>
                              </w:rPr>
                              <w:t xml:space="preserve"> The amount of credit remains at 30% of the cost of purchasing and installing a home charger, capped at $1,000 per year. However, the credit now applies per charger—for example, if you purchase two home chargers you can obtain a $2,000 credit.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68223" id="Text Box 3" o:spid="_x0000_s1028" type="#_x0000_t202" style="position:absolute;margin-left:270pt;margin-top:20.1pt;width:183.7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CBOwIAAIQEAAAOAAAAZHJzL2Uyb0RvYy54bWysVE1v2zAMvQ/YfxB0Xxw7H2uDOEWWIsOA&#10;oi2QDj0rshQbk0VNUmJnv36U7Hy022nYRaZE6ol8fPT8rq0VOQjrKtA5TQdDSoTmUFR6l9PvL+tP&#10;N5Q4z3TBFGiR06Nw9G7x8cO8MTORQQmqEJYgiHazxuS09N7MksTxUtTMDcAIjU4JtmYet3aXFJY1&#10;iF6rJBsOp0kDtjAWuHAOT+87J11EfCkF909SOuGJyinm5uNq47oNa7KYs9nOMlNWvE+D/UMWNas0&#10;PnqGumeekb2t/oCqK27BgfQDDnUCUlZcxBqwmnT4rppNyYyItSA5zpxpcv8Plj8eNubZEt9+gRYb&#10;GAhpjJs5PAz1tNLW4YuZEvQjhcczbaL1hONhNhqNptmEEo6+NEtvsTEBJ7lcN9b5rwJqEoycWuxL&#10;pIsdHpzvQk8h4TUHqirWlVJxE7QgVsqSA8MuKh+TRPA3UUqTJqfT0WQYgd/4AvT5/lYx/qNP7yoK&#10;8ZTGnC/FB8u325ZUxRUxWyiOyJeFTkrO8HWF8A/M+WdmUTtIEc6Df8JFKsCcoLcoKcH++tt5iMeW&#10;opeSBrWYU/dzz6ygRH3T2OzbdDwO4o2b8eRzhht77dlee/S+XgESleLkGR7NEO/VyZQW6lccm2V4&#10;FV1Mc3w7p/5krnw3ITh2XCyXMQjlaph/0BvDA3RoTKD1pX1l1vRt9aiIRzipls3edbeLDTc1LPce&#10;ZBVbH3juWO3pR6lH8fRjGWbpeh+jLj+PxW8AAAD//wMAUEsDBBQABgAIAAAAIQA0LAZD3QAAAAoB&#10;AAAPAAAAZHJzL2Rvd25yZXYueG1sTI8xT8MwFIR3JP6D9ZDYqE1oIQ15qQAVFiYKYn6NXdsitiPb&#10;TcO/x0wwnu509127md3AJhWTDR7heiGAKd8Hab1G+Hh/vqqBpUxe0hC8QvhWCTbd+VlLjQwn/6am&#10;XdaslPjUEILJeWw4T71RjtIijMoX7xCio1xk1FxGOpVyN/BKiFvuyPqyYGhUT0b1X7ujQ9g+6rXu&#10;a4pmW0trp/nz8KpfEC8v5od7YFnN+S8Mv/gFHbrCtA9HLxMbEFZLUb5khKWogJXAWtytgO0Rqpuq&#10;At61/P+F7gcAAP//AwBQSwECLQAUAAYACAAAACEAtoM4kv4AAADhAQAAEwAAAAAAAAAAAAAAAAAA&#10;AAAAW0NvbnRlbnRfVHlwZXNdLnhtbFBLAQItABQABgAIAAAAIQA4/SH/1gAAAJQBAAALAAAAAAAA&#10;AAAAAAAAAC8BAABfcmVscy8ucmVsc1BLAQItABQABgAIAAAAIQC2+7CBOwIAAIQEAAAOAAAAAAAA&#10;AAAAAAAAAC4CAABkcnMvZTJvRG9jLnhtbFBLAQItABQABgAIAAAAIQA0LAZD3QAAAAoBAAAPAAAA&#10;AAAAAAAAAAAAAJUEAABkcnMvZG93bnJldi54bWxQSwUGAAAAAAQABADzAAAAnwUAAAAA&#10;" fillcolor="white [3201]" strokeweight=".5pt">
                <v:textbox>
                  <w:txbxContent>
                    <w:p w14:paraId="76599EFF" w14:textId="1F122857" w:rsidR="00465F49" w:rsidRPr="00465F49" w:rsidRDefault="00465F49" w:rsidP="00465F49">
                      <w:pPr>
                        <w:rPr>
                          <w:rFonts w:ascii="Times New Roman" w:hAnsi="Times New Roman" w:cs="Times New Roman"/>
                          <w:sz w:val="20"/>
                          <w:szCs w:val="20"/>
                        </w:rPr>
                      </w:pPr>
                      <w:r w:rsidRPr="00465F49">
                        <w:rPr>
                          <w:rFonts w:ascii="Times New Roman" w:hAnsi="Times New Roman" w:cs="Times New Roman"/>
                          <w:b/>
                          <w:bCs/>
                          <w:sz w:val="20"/>
                          <w:szCs w:val="20"/>
                          <w:u w:val="single"/>
                        </w:rPr>
                        <w:t>Home EV charger Credit</w:t>
                      </w:r>
                      <w:r w:rsidRPr="00465F49">
                        <w:rPr>
                          <w:rFonts w:ascii="Times New Roman" w:hAnsi="Times New Roman" w:cs="Times New Roman"/>
                          <w:b/>
                          <w:bCs/>
                          <w:sz w:val="20"/>
                          <w:szCs w:val="20"/>
                        </w:rPr>
                        <w:t>:</w:t>
                      </w:r>
                      <w:r w:rsidRPr="00465F49">
                        <w:rPr>
                          <w:rFonts w:ascii="Times New Roman" w:hAnsi="Times New Roman" w:cs="Times New Roman"/>
                          <w:sz w:val="20"/>
                          <w:szCs w:val="20"/>
                        </w:rPr>
                        <w:t xml:space="preserve"> The amount of credit remains at 30% of the cost of purchasing and installing a home charger, capped at $1,000 per year. However, the credit now applies per charger—for example, if you purchase two home chargers you can obtain a $2,000 credit.</w:t>
                      </w:r>
                    </w:p>
                  </w:txbxContent>
                </v:textbox>
              </v:shape>
            </w:pict>
          </mc:Fallback>
        </mc:AlternateContent>
      </w:r>
      <w:r w:rsidR="00703304">
        <w:rPr>
          <w:rFonts w:ascii="Times New Roman" w:hAnsi="Times New Roman" w:cs="Times New Roman"/>
          <w:noProof/>
          <w:u w:val="single"/>
        </w:rPr>
        <w:t xml:space="preserve">                                    </w:t>
      </w:r>
    </w:p>
    <w:p w14:paraId="6C117F9D" w14:textId="1277ADEA" w:rsidR="00465F49" w:rsidRDefault="00465F49" w:rsidP="00CD629A">
      <w:r>
        <w:t xml:space="preserve">                                                             </w:t>
      </w:r>
    </w:p>
    <w:p w14:paraId="08989CCF" w14:textId="527646B1" w:rsidR="00465F49" w:rsidRPr="00465F49" w:rsidRDefault="009A689D" w:rsidP="00465F49">
      <w:pPr>
        <w:tabs>
          <w:tab w:val="left" w:pos="6765"/>
        </w:tabs>
      </w:pPr>
      <w:r w:rsidRPr="00B97840">
        <w:rPr>
          <w:rFonts w:ascii="Times New Roman" w:hAnsi="Times New Roman" w:cs="Times New Roman"/>
          <w:noProof/>
          <w:u w:val="single"/>
        </w:rPr>
        <mc:AlternateContent>
          <mc:Choice Requires="wps">
            <w:drawing>
              <wp:anchor distT="0" distB="0" distL="114300" distR="114300" simplePos="0" relativeHeight="251665408" behindDoc="0" locked="0" layoutInCell="1" allowOverlap="1" wp14:anchorId="1F002C58" wp14:editId="63AB842C">
                <wp:simplePos x="0" y="0"/>
                <wp:positionH relativeFrom="column">
                  <wp:posOffset>5286375</wp:posOffset>
                </wp:positionH>
                <wp:positionV relativeFrom="paragraph">
                  <wp:posOffset>1313815</wp:posOffset>
                </wp:positionV>
                <wp:extent cx="2333625" cy="1362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33625" cy="1362075"/>
                        </a:xfrm>
                        <a:prstGeom prst="rect">
                          <a:avLst/>
                        </a:prstGeom>
                        <a:solidFill>
                          <a:schemeClr val="lt1"/>
                        </a:solidFill>
                        <a:ln w="6350">
                          <a:solidFill>
                            <a:prstClr val="black"/>
                          </a:solidFill>
                        </a:ln>
                      </wps:spPr>
                      <wps:txbx>
                        <w:txbxContent>
                          <w:p w14:paraId="3C34319A" w14:textId="5B0E45B1" w:rsidR="001E1DB4" w:rsidRPr="001E1DB4" w:rsidRDefault="001E1DB4" w:rsidP="001E1DB4">
                            <w:pPr>
                              <w:rPr>
                                <w:rFonts w:ascii="Times New Roman" w:hAnsi="Times New Roman" w:cs="Times New Roman"/>
                                <w:sz w:val="20"/>
                                <w:szCs w:val="20"/>
                              </w:rPr>
                            </w:pPr>
                            <w:r>
                              <w:rPr>
                                <w:rFonts w:ascii="Times New Roman" w:hAnsi="Times New Roman" w:cs="Times New Roman"/>
                                <w:b/>
                                <w:bCs/>
                                <w:sz w:val="20"/>
                                <w:szCs w:val="20"/>
                                <w:u w:val="single"/>
                              </w:rPr>
                              <w:t xml:space="preserve">Fuel Refueling Property Credit: </w:t>
                            </w:r>
                            <w:r>
                              <w:rPr>
                                <w:rFonts w:ascii="Times New Roman" w:hAnsi="Times New Roman" w:cs="Times New Roman"/>
                                <w:sz w:val="20"/>
                                <w:szCs w:val="20"/>
                              </w:rPr>
                              <w:t>This credit will be limited to properties located in a rural or low-income census tract. It applies to individual installations as well as business installations. T</w:t>
                            </w:r>
                            <w:r w:rsidRPr="001E1DB4">
                              <w:rPr>
                                <w:rFonts w:ascii="Times New Roman" w:hAnsi="Times New Roman" w:cs="Times New Roman"/>
                                <w:sz w:val="20"/>
                                <w:szCs w:val="20"/>
                              </w:rPr>
                              <w:t>he credit for all property placed in service at your main home is generally the smaller of 30% of the property’s cost or $1,000.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2C58" id="Text Box 5" o:spid="_x0000_s1029" type="#_x0000_t202" style="position:absolute;margin-left:416.25pt;margin-top:103.45pt;width:183.75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kD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yNx+PZaEoJR98QzfRmGnCSy3Vjnf8qoCbByKnFvkS6&#10;2OHB+S70FBJec6CqYl0pFTdBC2KlLDkw7KLyMUkEfxOlNGlyOhtP0wj8xhegz/e3ivEffXpXUYin&#10;NOZ8KT5Yvt22pCpyOj4Rs4XiiHxZ6KTkDF9XCP/AnH9mFrWDFOE8+CdcpALMCXqLkhLsr7+dh3hs&#10;KXopaVCLOXU/98wKStQ3jc3+PJxMgnjjZjK9GeHGXnu21x69r1eARA1x8gyPZoj36mRKC/Urjs0y&#10;vIoupjm+nVN/Mle+mxAcOy6WyxiEcjXMP+iN4QE6NCbQ+tK+Mmv6tnpUxCOcVMuyd93tYsNNDcu9&#10;B1nF1geeO1Z7+lHqUTz9WIZZut7HqMvPY/EbAAD//wMAUEsDBBQABgAIAAAAIQBAVr213gAAAAwB&#10;AAAPAAAAZHJzL2Rvd25yZXYueG1sTI/BTsMwEETvSPyDtUjcqNNQqjTNpgJUuHCiIM5uvLWtxnZk&#10;u2n4e9wTPa72aeZNs5lsz0YK0XiHMJ8VwMh1XhqnEL6/3h4qYDEJJ0XvHSH8UoRNe3vTiFr6s/uk&#10;cZcUyyEu1gJBpzTUnMdOkxVx5gdy+XfwwYqUz6C4DOKcw23Py6JYciuMyw1aDPSqqTvuThZh+6JW&#10;qqtE0NtKGjNOP4cP9Y54fzc9r4ElmtI/DBf9rA5tdtr7k5OR9QjVY/mUUYSyWK6AXYhcmOftERbl&#10;fAG8bfj1iPYPAAD//wMAUEsBAi0AFAAGAAgAAAAhALaDOJL+AAAA4QEAABMAAAAAAAAAAAAAAAAA&#10;AAAAAFtDb250ZW50X1R5cGVzXS54bWxQSwECLQAUAAYACAAAACEAOP0h/9YAAACUAQAACwAAAAAA&#10;AAAAAAAAAAAvAQAAX3JlbHMvLnJlbHNQSwECLQAUAAYACAAAACEAW3wpAzsCAACEBAAADgAAAAAA&#10;AAAAAAAAAAAuAgAAZHJzL2Uyb0RvYy54bWxQSwECLQAUAAYACAAAACEAQFa9td4AAAAMAQAADwAA&#10;AAAAAAAAAAAAAACVBAAAZHJzL2Rvd25yZXYueG1sUEsFBgAAAAAEAAQA8wAAAKAFAAAAAA==&#10;" fillcolor="white [3201]" strokeweight=".5pt">
                <v:textbox>
                  <w:txbxContent>
                    <w:p w14:paraId="3C34319A" w14:textId="5B0E45B1" w:rsidR="001E1DB4" w:rsidRPr="001E1DB4" w:rsidRDefault="001E1DB4" w:rsidP="001E1DB4">
                      <w:pPr>
                        <w:rPr>
                          <w:rFonts w:ascii="Times New Roman" w:hAnsi="Times New Roman" w:cs="Times New Roman"/>
                          <w:sz w:val="20"/>
                          <w:szCs w:val="20"/>
                        </w:rPr>
                      </w:pPr>
                      <w:r>
                        <w:rPr>
                          <w:rFonts w:ascii="Times New Roman" w:hAnsi="Times New Roman" w:cs="Times New Roman"/>
                          <w:b/>
                          <w:bCs/>
                          <w:sz w:val="20"/>
                          <w:szCs w:val="20"/>
                          <w:u w:val="single"/>
                        </w:rPr>
                        <w:t xml:space="preserve">Fuel Refueling Property Credit: </w:t>
                      </w:r>
                      <w:r>
                        <w:rPr>
                          <w:rFonts w:ascii="Times New Roman" w:hAnsi="Times New Roman" w:cs="Times New Roman"/>
                          <w:sz w:val="20"/>
                          <w:szCs w:val="20"/>
                        </w:rPr>
                        <w:t>This credit will be limited to properties located in a rural or low-income census tract. It applies to individual installations as well as business installations. T</w:t>
                      </w:r>
                      <w:r w:rsidRPr="001E1DB4">
                        <w:rPr>
                          <w:rFonts w:ascii="Times New Roman" w:hAnsi="Times New Roman" w:cs="Times New Roman"/>
                          <w:sz w:val="20"/>
                          <w:szCs w:val="20"/>
                        </w:rPr>
                        <w:t>he credit for all property placed in service at your main home is generally the smaller of 30% of the property’s cost or $1,000.</w:t>
                      </w:r>
                    </w:p>
                  </w:txbxContent>
                </v:textbox>
              </v:shape>
            </w:pict>
          </mc:Fallback>
        </mc:AlternateContent>
      </w:r>
      <w:r w:rsidRPr="00B97840">
        <w:rPr>
          <w:rFonts w:ascii="Times New Roman" w:hAnsi="Times New Roman" w:cs="Times New Roman"/>
          <w:noProof/>
          <w:u w:val="single"/>
        </w:rPr>
        <mc:AlternateContent>
          <mc:Choice Requires="wps">
            <w:drawing>
              <wp:anchor distT="0" distB="0" distL="114300" distR="114300" simplePos="0" relativeHeight="251663360" behindDoc="0" locked="0" layoutInCell="1" allowOverlap="1" wp14:anchorId="59306A0B" wp14:editId="1BB2FCDA">
                <wp:simplePos x="0" y="0"/>
                <wp:positionH relativeFrom="column">
                  <wp:posOffset>1724025</wp:posOffset>
                </wp:positionH>
                <wp:positionV relativeFrom="paragraph">
                  <wp:posOffset>1320800</wp:posOffset>
                </wp:positionV>
                <wp:extent cx="2333625" cy="1362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33625" cy="1362075"/>
                        </a:xfrm>
                        <a:prstGeom prst="rect">
                          <a:avLst/>
                        </a:prstGeom>
                        <a:solidFill>
                          <a:schemeClr val="lt1"/>
                        </a:solidFill>
                        <a:ln w="6350">
                          <a:solidFill>
                            <a:prstClr val="black"/>
                          </a:solidFill>
                        </a:ln>
                      </wps:spPr>
                      <wps:txbx>
                        <w:txbxContent>
                          <w:p w14:paraId="7E7C2A0C" w14:textId="04E5EE22" w:rsidR="00465F49" w:rsidRPr="00465F49" w:rsidRDefault="00465F49" w:rsidP="00465F49">
                            <w:pPr>
                              <w:rPr>
                                <w:rFonts w:ascii="Times New Roman" w:hAnsi="Times New Roman" w:cs="Times New Roman"/>
                                <w:sz w:val="20"/>
                                <w:szCs w:val="20"/>
                              </w:rPr>
                            </w:pPr>
                            <w:r w:rsidRPr="00465F49">
                              <w:rPr>
                                <w:rFonts w:ascii="Times New Roman" w:hAnsi="Times New Roman" w:cs="Times New Roman"/>
                                <w:b/>
                                <w:bCs/>
                                <w:sz w:val="20"/>
                                <w:szCs w:val="20"/>
                                <w:u w:val="single"/>
                              </w:rPr>
                              <w:t>Clean Vehicle Credit</w:t>
                            </w:r>
                            <w:r>
                              <w:rPr>
                                <w:rFonts w:ascii="Times New Roman" w:hAnsi="Times New Roman" w:cs="Times New Roman"/>
                                <w:sz w:val="20"/>
                                <w:szCs w:val="20"/>
                              </w:rPr>
                              <w:t>:</w:t>
                            </w:r>
                            <w:r w:rsidRPr="00465F49">
                              <w:t xml:space="preserve"> </w:t>
                            </w:r>
                            <w:r w:rsidR="009A689D">
                              <w:rPr>
                                <w:rFonts w:ascii="Times New Roman" w:hAnsi="Times New Roman" w:cs="Times New Roman"/>
                                <w:sz w:val="20"/>
                                <w:szCs w:val="20"/>
                              </w:rPr>
                              <w:t>S</w:t>
                            </w:r>
                            <w:r w:rsidRPr="00465F49">
                              <w:rPr>
                                <w:rFonts w:ascii="Times New Roman" w:hAnsi="Times New Roman" w:cs="Times New Roman"/>
                                <w:sz w:val="20"/>
                                <w:szCs w:val="20"/>
                              </w:rPr>
                              <w:t>tarting January 1, 2023, individuals who purchase used electric vehicles may also be eligible for a tax credit (depending on their income) of up to $4,000 or 30% of the sales price, whichever is less.</w:t>
                            </w:r>
                            <w:r w:rsidR="00B97840">
                              <w:rPr>
                                <w:rFonts w:ascii="Times New Roman" w:hAnsi="Times New Roman" w:cs="Times New Roman"/>
                                <w:sz w:val="20"/>
                                <w:szCs w:val="20"/>
                              </w:rPr>
                              <w:t xml:space="preserve"> Please visit the irs.gov website for more information on thresholds and restrictions.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6A0B" id="Text Box 4" o:spid="_x0000_s1030" type="#_x0000_t202" style="position:absolute;margin-left:135.75pt;margin-top:104pt;width:183.7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bWOw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A0Ho9noyklHH1DNNObacBJLteNdf6rgJoEI6cW+xLp&#10;YocH57vQU0h4zYGSxVoqFTdBC2KlLDkw7KLyMUkEfxOlNGlyOhtP0wj8xhegz/e3ivEffXpXUYin&#10;NOZ8KT5Yvt22RBZY44mYLRRH5MtCJyVn+Foi/ANz/plZ1A5ShPPgn3ApFWBO0FuUVGB//e08xGNL&#10;0UtJg1rMqfu5Z1ZQor5pbPbn4WQSxBs3k+nNCDf22rO99uh9vQIkaoiTZ3g0Q7xXJ7O0UL/i2CzD&#10;q+himuPbOfUnc+W7CcGx42K5jEEoV8P8g94YHqBDYwKtL+0rs6Zvq0dFPMJJtSx7190uNtzUsNx7&#10;KGVsfeC5Y7WnH6UexdOPZZil632Muvw8Fr8BAAD//wMAUEsDBBQABgAIAAAAIQA2Teu63gAAAAsB&#10;AAAPAAAAZHJzL2Rvd25yZXYueG1sTI/BTsMwEETvSPyDtUjcqNNAS5rGqQAVLj1RUM9u7NoW8Tqy&#10;3TT8PcsJbjPap9mZZjP5no06JhdQwHxWANPYBeXQCPj8eL2rgKUsUck+oBbwrRNs2uurRtYqXPBd&#10;j/tsGIVgqqUAm/NQc546q71MszBopNspRC8z2Wi4ivJC4b7nZVEsuZcO6YOVg36xuvvan72A7bNZ&#10;ma6S0W4r5dw4HU478ybE7c30tAaW9ZT/YPitT9WhpU7HcEaVWC+gfJwvCCVRVDSKiOX9isRRwENZ&#10;LoC3Df+/of0BAAD//wMAUEsBAi0AFAAGAAgAAAAhALaDOJL+AAAA4QEAABMAAAAAAAAAAAAAAAAA&#10;AAAAAFtDb250ZW50X1R5cGVzXS54bWxQSwECLQAUAAYACAAAACEAOP0h/9YAAACUAQAACwAAAAAA&#10;AAAAAAAAAAAvAQAAX3JlbHMvLnJlbHNQSwECLQAUAAYACAAAACEAJM5m1jsCAACEBAAADgAAAAAA&#10;AAAAAAAAAAAuAgAAZHJzL2Uyb0RvYy54bWxQSwECLQAUAAYACAAAACEANk3rut4AAAALAQAADwAA&#10;AAAAAAAAAAAAAACVBAAAZHJzL2Rvd25yZXYueG1sUEsFBgAAAAAEAAQA8wAAAKAFAAAAAA==&#10;" fillcolor="white [3201]" strokeweight=".5pt">
                <v:textbox>
                  <w:txbxContent>
                    <w:p w14:paraId="7E7C2A0C" w14:textId="04E5EE22" w:rsidR="00465F49" w:rsidRPr="00465F49" w:rsidRDefault="00465F49" w:rsidP="00465F49">
                      <w:pPr>
                        <w:rPr>
                          <w:rFonts w:ascii="Times New Roman" w:hAnsi="Times New Roman" w:cs="Times New Roman"/>
                          <w:sz w:val="20"/>
                          <w:szCs w:val="20"/>
                        </w:rPr>
                      </w:pPr>
                      <w:r w:rsidRPr="00465F49">
                        <w:rPr>
                          <w:rFonts w:ascii="Times New Roman" w:hAnsi="Times New Roman" w:cs="Times New Roman"/>
                          <w:b/>
                          <w:bCs/>
                          <w:sz w:val="20"/>
                          <w:szCs w:val="20"/>
                          <w:u w:val="single"/>
                        </w:rPr>
                        <w:t>Clean Vehicle Credit</w:t>
                      </w:r>
                      <w:r>
                        <w:rPr>
                          <w:rFonts w:ascii="Times New Roman" w:hAnsi="Times New Roman" w:cs="Times New Roman"/>
                          <w:sz w:val="20"/>
                          <w:szCs w:val="20"/>
                        </w:rPr>
                        <w:t>:</w:t>
                      </w:r>
                      <w:r w:rsidRPr="00465F49">
                        <w:t xml:space="preserve"> </w:t>
                      </w:r>
                      <w:r w:rsidR="009A689D">
                        <w:rPr>
                          <w:rFonts w:ascii="Times New Roman" w:hAnsi="Times New Roman" w:cs="Times New Roman"/>
                          <w:sz w:val="20"/>
                          <w:szCs w:val="20"/>
                        </w:rPr>
                        <w:t>S</w:t>
                      </w:r>
                      <w:r w:rsidRPr="00465F49">
                        <w:rPr>
                          <w:rFonts w:ascii="Times New Roman" w:hAnsi="Times New Roman" w:cs="Times New Roman"/>
                          <w:sz w:val="20"/>
                          <w:szCs w:val="20"/>
                        </w:rPr>
                        <w:t>tarting January 1, 2023, individuals who purchase used electric vehicles may also be eligible for a tax credit (depending on their income) of up to $4,000 or 30% of the sales price, whichever is less.</w:t>
                      </w:r>
                      <w:r w:rsidR="00B97840">
                        <w:rPr>
                          <w:rFonts w:ascii="Times New Roman" w:hAnsi="Times New Roman" w:cs="Times New Roman"/>
                          <w:sz w:val="20"/>
                          <w:szCs w:val="20"/>
                        </w:rPr>
                        <w:t xml:space="preserve"> Please visit the irs.gov website for more information on thresholds and restrictions.</w:t>
                      </w:r>
                    </w:p>
                  </w:txbxContent>
                </v:textbox>
              </v:shape>
            </w:pict>
          </mc:Fallback>
        </mc:AlternateContent>
      </w:r>
      <w:r w:rsidR="00465F49">
        <w:tab/>
      </w:r>
      <w:r w:rsidR="00703304">
        <w:t xml:space="preserve">                        </w:t>
      </w:r>
    </w:p>
    <w:sectPr w:rsidR="00465F49" w:rsidRPr="00465F49" w:rsidSect="009A689D">
      <w:pgSz w:w="15840" w:h="12240" w:orient="landscape"/>
      <w:pgMar w:top="270" w:right="45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9"/>
    <w:rsid w:val="001B6069"/>
    <w:rsid w:val="001E1DB4"/>
    <w:rsid w:val="00465F49"/>
    <w:rsid w:val="00656827"/>
    <w:rsid w:val="00703304"/>
    <w:rsid w:val="009A689D"/>
    <w:rsid w:val="00B97840"/>
    <w:rsid w:val="00CD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BD3D"/>
  <w15:chartTrackingRefBased/>
  <w15:docId w15:val="{7303CAC3-3ED7-478E-ACA5-F43AD85D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850">
      <w:bodyDiv w:val="1"/>
      <w:marLeft w:val="0"/>
      <w:marRight w:val="0"/>
      <w:marTop w:val="0"/>
      <w:marBottom w:val="0"/>
      <w:divBdr>
        <w:top w:val="none" w:sz="0" w:space="0" w:color="auto"/>
        <w:left w:val="none" w:sz="0" w:space="0" w:color="auto"/>
        <w:bottom w:val="none" w:sz="0" w:space="0" w:color="auto"/>
        <w:right w:val="none" w:sz="0" w:space="0" w:color="auto"/>
      </w:divBdr>
    </w:div>
    <w:div w:id="222643876">
      <w:bodyDiv w:val="1"/>
      <w:marLeft w:val="0"/>
      <w:marRight w:val="0"/>
      <w:marTop w:val="0"/>
      <w:marBottom w:val="0"/>
      <w:divBdr>
        <w:top w:val="none" w:sz="0" w:space="0" w:color="auto"/>
        <w:left w:val="none" w:sz="0" w:space="0" w:color="auto"/>
        <w:bottom w:val="none" w:sz="0" w:space="0" w:color="auto"/>
        <w:right w:val="none" w:sz="0" w:space="0" w:color="auto"/>
      </w:divBdr>
    </w:div>
    <w:div w:id="14417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Fuller</dc:creator>
  <cp:keywords/>
  <dc:description/>
  <cp:lastModifiedBy>Stacy Fuller</cp:lastModifiedBy>
  <cp:revision>2</cp:revision>
  <dcterms:created xsi:type="dcterms:W3CDTF">2022-10-27T16:17:00Z</dcterms:created>
  <dcterms:modified xsi:type="dcterms:W3CDTF">2022-10-27T16:17:00Z</dcterms:modified>
</cp:coreProperties>
</file>